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Pr="00F91592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1592">
        <w:rPr>
          <w:rFonts w:ascii="Arial" w:hAnsi="Arial" w:cs="Arial"/>
          <w:b/>
          <w:sz w:val="32"/>
          <w:szCs w:val="32"/>
        </w:rPr>
        <w:t>2</w:t>
      </w:r>
      <w:r w:rsidR="00F91592">
        <w:rPr>
          <w:rFonts w:ascii="Arial" w:hAnsi="Arial" w:cs="Arial"/>
          <w:b/>
          <w:sz w:val="32"/>
          <w:szCs w:val="32"/>
        </w:rPr>
        <w:t>0</w:t>
      </w:r>
      <w:r w:rsidR="00CD28B9" w:rsidRPr="00F91592">
        <w:rPr>
          <w:rFonts w:ascii="Arial" w:hAnsi="Arial" w:cs="Arial"/>
          <w:b/>
          <w:sz w:val="32"/>
          <w:szCs w:val="32"/>
        </w:rPr>
        <w:t>.</w:t>
      </w:r>
      <w:r w:rsidR="00F91592">
        <w:rPr>
          <w:rFonts w:ascii="Arial" w:hAnsi="Arial" w:cs="Arial"/>
          <w:b/>
          <w:sz w:val="32"/>
          <w:szCs w:val="32"/>
        </w:rPr>
        <w:t>0</w:t>
      </w:r>
      <w:r w:rsidR="009B5603">
        <w:rPr>
          <w:rFonts w:ascii="Arial" w:hAnsi="Arial" w:cs="Arial"/>
          <w:b/>
          <w:sz w:val="32"/>
          <w:szCs w:val="32"/>
        </w:rPr>
        <w:t>9</w:t>
      </w:r>
      <w:r w:rsidR="00CD28B9" w:rsidRPr="00F91592">
        <w:rPr>
          <w:rFonts w:ascii="Arial" w:hAnsi="Arial" w:cs="Arial"/>
          <w:b/>
          <w:sz w:val="32"/>
          <w:szCs w:val="32"/>
        </w:rPr>
        <w:t>.20</w:t>
      </w:r>
      <w:r w:rsidR="00F44157" w:rsidRPr="00F91592">
        <w:rPr>
          <w:rFonts w:ascii="Arial" w:hAnsi="Arial" w:cs="Arial"/>
          <w:b/>
          <w:sz w:val="32"/>
          <w:szCs w:val="32"/>
        </w:rPr>
        <w:t>2</w:t>
      </w:r>
      <w:r w:rsidR="00F91592">
        <w:rPr>
          <w:rFonts w:ascii="Arial" w:hAnsi="Arial" w:cs="Arial"/>
          <w:b/>
          <w:sz w:val="32"/>
          <w:szCs w:val="32"/>
        </w:rPr>
        <w:t>1</w:t>
      </w:r>
      <w:r w:rsidR="006C2EC0" w:rsidRPr="00F91592">
        <w:rPr>
          <w:rFonts w:ascii="Arial" w:hAnsi="Arial" w:cs="Arial"/>
          <w:b/>
          <w:sz w:val="32"/>
          <w:szCs w:val="32"/>
        </w:rPr>
        <w:t xml:space="preserve">г. № </w:t>
      </w:r>
      <w:r w:rsidR="009B5603">
        <w:rPr>
          <w:rFonts w:ascii="Arial" w:hAnsi="Arial" w:cs="Arial"/>
          <w:b/>
          <w:sz w:val="32"/>
          <w:szCs w:val="32"/>
        </w:rPr>
        <w:t>64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4E04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«О ВНЕСЕНИИ ИЗМЕНЕНИЙ В</w:t>
      </w:r>
      <w:r w:rsidR="009B5603">
        <w:rPr>
          <w:rFonts w:ascii="Arial" w:hAnsi="Arial" w:cs="Arial"/>
          <w:b/>
          <w:sz w:val="32"/>
          <w:szCs w:val="32"/>
          <w:lang w:val="ru-RU"/>
        </w:rPr>
        <w:t xml:space="preserve"> ПРОЕКТ МУНИЦИПАЛЬНОЙ ПРОГРАММЫ </w:t>
      </w:r>
      <w:r>
        <w:rPr>
          <w:rFonts w:ascii="Arial" w:hAnsi="Arial" w:cs="Arial"/>
          <w:b/>
          <w:sz w:val="32"/>
          <w:szCs w:val="32"/>
          <w:lang w:val="ru-RU"/>
        </w:rPr>
        <w:t>ОТ 28.12.2020Г. № 75 «</w:t>
      </w:r>
      <w:r w:rsidR="001A3545"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="006D44B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A3545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9B5603">
        <w:rPr>
          <w:rFonts w:ascii="Arial" w:hAnsi="Arial" w:cs="Arial"/>
          <w:b/>
          <w:sz w:val="32"/>
          <w:szCs w:val="32"/>
          <w:lang w:val="ru-RU"/>
        </w:rPr>
        <w:t>2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9B5603">
        <w:rPr>
          <w:rFonts w:ascii="Arial" w:hAnsi="Arial" w:cs="Arial"/>
          <w:b/>
          <w:sz w:val="32"/>
          <w:szCs w:val="32"/>
          <w:lang w:val="ru-RU"/>
        </w:rPr>
        <w:t>4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CD4E04" w:rsidRPr="009B5603" w:rsidRDefault="00DD03A9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1.Внести изменения в проект муниципальной программы от 28.12.2020г. № 75  об утверждении муниципальной программы « Развитие культуры Катарминского муниципального образования» на 2022-2024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г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9B5603" w:rsidRDefault="00CD4E04" w:rsidP="00DD03A9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2. Настоящее постановление вступает в силу после его официального опубликования в «Вестнике Катарминского сельского поселения» и размещению  на   официальном  сайте  администрации       Катарминского   муниципального       образования.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br/>
        <w:t>3.    Контроль за выполнение постановления оставляю за собой.</w:t>
      </w:r>
    </w:p>
    <w:p w:rsid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91800" w:rsidRPr="00CD4E04" w:rsidRDefault="00091800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CB2D1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И.о</w:t>
      </w:r>
      <w:proofErr w:type="gramStart"/>
      <w:r>
        <w:rPr>
          <w:rFonts w:ascii="Arial" w:eastAsia="Times New Roman" w:hAnsi="Arial" w:cs="Arial"/>
          <w:lang w:eastAsia="ru-RU"/>
        </w:rPr>
        <w:t>.г</w:t>
      </w:r>
      <w:proofErr w:type="gramEnd"/>
      <w:r>
        <w:rPr>
          <w:rFonts w:ascii="Arial" w:eastAsia="Times New Roman" w:hAnsi="Arial" w:cs="Arial"/>
          <w:lang w:eastAsia="ru-RU"/>
        </w:rPr>
        <w:t>лавы</w:t>
      </w:r>
      <w:proofErr w:type="spellEnd"/>
      <w:r w:rsidR="00CD4E04" w:rsidRPr="00CD4E04">
        <w:rPr>
          <w:rFonts w:ascii="Arial" w:eastAsia="Times New Roman" w:hAnsi="Arial" w:cs="Arial"/>
          <w:lang w:eastAsia="ru-RU"/>
        </w:rPr>
        <w:t xml:space="preserve"> Катарминского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муниципального образования</w:t>
      </w:r>
      <w:proofErr w:type="gramStart"/>
      <w:r w:rsidRPr="00CD4E04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CD4E04">
        <w:rPr>
          <w:rFonts w:ascii="Arial" w:eastAsia="Times New Roman" w:hAnsi="Arial" w:cs="Arial"/>
          <w:lang w:eastAsia="ru-RU"/>
        </w:rPr>
        <w:t xml:space="preserve">                                   </w:t>
      </w:r>
      <w:proofErr w:type="spellStart"/>
      <w:r w:rsidR="00CB2D14">
        <w:rPr>
          <w:rFonts w:ascii="Arial" w:eastAsia="Times New Roman" w:hAnsi="Arial" w:cs="Arial"/>
          <w:lang w:eastAsia="ru-RU"/>
        </w:rPr>
        <w:t>В.Ш.Сайфулина</w:t>
      </w:r>
      <w:proofErr w:type="spellEnd"/>
      <w:r w:rsidRPr="00CD4E04">
        <w:rPr>
          <w:rFonts w:ascii="Arial" w:eastAsia="Times New Roman" w:hAnsi="Arial" w:cs="Arial"/>
          <w:lang w:eastAsia="ru-RU"/>
        </w:rPr>
        <w:t xml:space="preserve">        </w:t>
      </w:r>
    </w:p>
    <w:p w:rsidR="00091800" w:rsidRPr="00091800" w:rsidRDefault="00091800" w:rsidP="00091800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91800" w:rsidRDefault="0009180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9B5603" w:rsidRDefault="009B560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DD03A9" w:rsidRDefault="00DD03A9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DD03A9" w:rsidRDefault="00DD03A9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9B5603" w:rsidRDefault="009B560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91800" w:rsidRPr="00CD28B9" w:rsidRDefault="00AC4C2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актуальной редакции от </w:t>
      </w:r>
      <w:r w:rsidR="00F9159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0 апреля 2021г. № </w:t>
      </w:r>
      <w:r w:rsidR="00F91592">
        <w:rPr>
          <w:rFonts w:ascii="Courier New" w:hAnsi="Courier New" w:cs="Courier New"/>
          <w:sz w:val="22"/>
          <w:szCs w:val="22"/>
        </w:rPr>
        <w:t>22</w:t>
      </w:r>
    </w:p>
    <w:p w:rsidR="000B7F9E" w:rsidRPr="00CD28B9" w:rsidRDefault="00CB2D14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 муниципальной 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CB2D14">
        <w:rPr>
          <w:rFonts w:ascii="Arial" w:hAnsi="Arial" w:cs="Arial"/>
          <w:b/>
          <w:sz w:val="30"/>
          <w:szCs w:val="30"/>
        </w:rPr>
        <w:t>2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CB2D14">
        <w:rPr>
          <w:rFonts w:ascii="Arial" w:hAnsi="Arial" w:cs="Arial"/>
          <w:b/>
          <w:sz w:val="30"/>
          <w:szCs w:val="30"/>
        </w:rPr>
        <w:t>4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1E29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Муниципальная программа «Развитие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Катарминском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муниципальном образовании на 2022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- 202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годы» </w:t>
            </w:r>
          </w:p>
        </w:tc>
      </w:tr>
      <w:tr w:rsidR="00E26BCF" w:rsidRPr="00E26BCF" w:rsidTr="00E26BCF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 Программы: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воспитание негативного отношения  у детей, подростков и молодежи к вредным привычкам;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-создание условий для реализации Программы.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 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1 «Обеспечение деятельности подведомственных учреждений культуры (клубы)»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2 «Обеспечение деятельности подведомственных учреждений культуры (библиотеки)»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3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образования»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4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образовании»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Подпрограмма 5 «Энергосбережение и повышение энергетической эффективности»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953,8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881,6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893,7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Повышение уровня проведения культурно-массовых мероприятий;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Предоставление гражданам дополнительных досуговых  услуг;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II</w:t>
      </w:r>
      <w:r w:rsidRPr="00E26BCF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E26BCF">
        <w:rPr>
          <w:rFonts w:ascii="Arial" w:eastAsia="Times New Roman" w:hAnsi="Arial" w:cs="Arial"/>
          <w:b/>
          <w:bCs/>
          <w:lang w:val="en-US" w:eastAsia="ru-RU"/>
        </w:rPr>
        <w:t>C</w:t>
      </w:r>
      <w:r w:rsidRPr="00E26BCF">
        <w:rPr>
          <w:rFonts w:ascii="Arial" w:eastAsia="Times New Roman" w:hAnsi="Arial" w:cs="Arial"/>
          <w:b/>
          <w:bCs/>
          <w:lang w:eastAsia="ru-RU"/>
        </w:rPr>
        <w:t>ОДЕРЖАНИЕ ПРОБЛЕМЫ И ОБОМНОВАНИЕ НЕОБХОДИМОСТИ ЕЕ РЕШЕНИЯ ПРОГРАММНО ЦЕЛЕВЫМ МЕТОДОМ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муниципального образования. </w:t>
      </w:r>
      <w:proofErr w:type="gramStart"/>
      <w:r w:rsidRPr="00E26BCF">
        <w:rPr>
          <w:rFonts w:ascii="Arial" w:hAnsi="Arial" w:cs="Arial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E26BCF">
        <w:rPr>
          <w:rFonts w:ascii="Arial" w:hAnsi="Arial" w:cs="Arial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</w:t>
      </w:r>
      <w:r w:rsidRPr="00E26BCF">
        <w:rPr>
          <w:rFonts w:ascii="Arial" w:hAnsi="Arial" w:cs="Arial"/>
          <w:lang w:eastAsia="ru-RU"/>
        </w:rPr>
        <w:lastRenderedPageBreak/>
        <w:t>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E26BCF">
        <w:rPr>
          <w:rFonts w:ascii="Arial" w:hAnsi="Arial" w:cs="Arial"/>
          <w:b/>
          <w:bCs/>
          <w:lang w:val="en-US" w:eastAsia="ru-RU"/>
        </w:rPr>
        <w:t>III</w:t>
      </w:r>
      <w:r w:rsidRPr="00E26BCF">
        <w:rPr>
          <w:rFonts w:ascii="Arial" w:hAnsi="Arial" w:cs="Arial"/>
          <w:b/>
          <w:bCs/>
          <w:lang w:eastAsia="ru-RU"/>
        </w:rPr>
        <w:t>. ОСНОВНЫЕ ЦЕЛИ И ЗАДАЧИ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Основными целями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повышение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развитие сферы культуры на территории муниципального образования;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 для организации досуга и обеспечение жителей поселения услугами    учреждений культуры.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Основными задачами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повышения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</w:t>
      </w:r>
      <w:r w:rsidR="00C23D1D"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воспитание негативного отношения  у детей, подростков и молодежи к вредным привычкам.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характера, доступных для широких слоев населения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реализации Программы.</w:t>
      </w:r>
    </w:p>
    <w:p w:rsidR="00E26BCF" w:rsidRPr="00E26BCF" w:rsidRDefault="00E26BCF" w:rsidP="00E2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IV</w:t>
      </w:r>
      <w:r w:rsidRPr="00E26BCF">
        <w:rPr>
          <w:rFonts w:ascii="Arial" w:eastAsia="Times New Roman" w:hAnsi="Arial" w:cs="Arial"/>
          <w:b/>
          <w:bCs/>
          <w:lang w:eastAsia="ru-RU"/>
        </w:rPr>
        <w:t>. ОБОСНОВАНИЕ ВЫДЕЛЕНИЯ ПОДПРОГРАММ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lastRenderedPageBreak/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1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(клубы)»;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2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(библиотеки)»;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3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 «Проведение массовых праздников на территории </w:t>
      </w:r>
      <w:r>
        <w:rPr>
          <w:rFonts w:ascii="Arial" w:hAnsi="Arial" w:cs="Arial"/>
          <w:lang w:eastAsia="ru-RU"/>
        </w:rPr>
        <w:t>Катарминского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муниципального образования»;</w:t>
      </w:r>
    </w:p>
    <w:p w:rsid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Подпрограмма 4 «Физическая культура и спорт в </w:t>
      </w:r>
      <w:r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образовании».</w:t>
      </w:r>
    </w:p>
    <w:p w:rsidR="00C23D1D" w:rsidRPr="00E26BCF" w:rsidRDefault="00C23D1D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Подпрограмма 5 «Энергосбережение и повышение энергетической эффективности».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V</w:t>
      </w:r>
      <w:r w:rsidRPr="00E26BCF">
        <w:rPr>
          <w:rFonts w:ascii="Arial" w:eastAsia="Times New Roman" w:hAnsi="Arial" w:cs="Arial"/>
          <w:b/>
          <w:bCs/>
          <w:lang w:eastAsia="ru-RU"/>
        </w:rPr>
        <w:t>. РЕСУРСНОЕ ОБЕСПЕЧЕНИЕ ПРОГРАММЫ</w:t>
      </w:r>
    </w:p>
    <w:p w:rsidR="00E26BCF" w:rsidRPr="00E26BCF" w:rsidRDefault="00E26BCF" w:rsidP="00E26BCF">
      <w:pPr>
        <w:spacing w:line="240" w:lineRule="auto"/>
        <w:rPr>
          <w:rFonts w:ascii="Arial" w:hAnsi="Arial" w:cs="Arial"/>
          <w:b/>
          <w:sz w:val="30"/>
          <w:szCs w:val="30"/>
        </w:rPr>
      </w:pP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C23D1D">
        <w:rPr>
          <w:rFonts w:ascii="Arial" w:hAnsi="Arial" w:cs="Arial"/>
        </w:rPr>
        <w:t>22</w:t>
      </w:r>
      <w:r w:rsidRPr="00E26BCF">
        <w:rPr>
          <w:rFonts w:ascii="Arial" w:hAnsi="Arial" w:cs="Arial"/>
        </w:rPr>
        <w:t xml:space="preserve"> - 202</w:t>
      </w:r>
      <w:r w:rsidR="00C23D1D">
        <w:rPr>
          <w:rFonts w:ascii="Arial" w:hAnsi="Arial" w:cs="Arial"/>
        </w:rPr>
        <w:t>4</w:t>
      </w:r>
      <w:r w:rsidRPr="00E26BCF">
        <w:rPr>
          <w:rFonts w:ascii="Arial" w:hAnsi="Arial" w:cs="Arial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образования.</w:t>
      </w: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46"/>
        <w:gridCol w:w="2041"/>
        <w:gridCol w:w="14"/>
        <w:gridCol w:w="706"/>
        <w:gridCol w:w="1996"/>
        <w:gridCol w:w="122"/>
        <w:gridCol w:w="12"/>
        <w:gridCol w:w="1831"/>
        <w:gridCol w:w="12"/>
        <w:gridCol w:w="127"/>
        <w:gridCol w:w="886"/>
      </w:tblGrid>
      <w:tr w:rsidR="00E26BCF" w:rsidRPr="00E26BCF" w:rsidTr="000B7AC5"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7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Внебюджетные средства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1. «Обеспечение деятельности подведомственных учреждений культуры (клубы)»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1492,8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1 492,8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07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490,2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264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2. «Обеспечение деятельности подведомственных учреждений культуры (библиотеки)»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1191,8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1191,8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422,7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422,7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381,1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381,1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388,0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3  «Проведение массовых праздников на территории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Катарминского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муниципального образования»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4</w:t>
            </w:r>
            <w:r w:rsidRPr="00E26BCF">
              <w:rPr>
                <w:rFonts w:ascii="Arial" w:hAnsi="Arial" w:cs="Arial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«Физическая культура и спорт в 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ском муниципальном образовании»</w:t>
            </w:r>
          </w:p>
          <w:p w:rsidR="00E26BCF" w:rsidRPr="00E26BCF" w:rsidRDefault="00E26BCF" w:rsidP="000B7AC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1028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7AC5">
              <w:rPr>
                <w:rFonts w:ascii="Courier New" w:hAnsi="Courier New" w:cs="Courier New"/>
                <w:b/>
                <w:sz w:val="22"/>
                <w:szCs w:val="22"/>
              </w:rPr>
              <w:t>Подпрограмма5 «Энергосбережение и повышение энергетической эффективности»</w:t>
            </w:r>
          </w:p>
        </w:tc>
      </w:tr>
      <w:tr w:rsidR="000B7AC5" w:rsidRPr="00E26BCF" w:rsidTr="000B7AC5"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6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9,5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51"/>
        </w:trPr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Tr="0052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1" w:type="dxa"/>
            <w:gridSpan w:val="12"/>
          </w:tcPr>
          <w:p w:rsidR="000B7AC5" w:rsidRDefault="000B7AC5" w:rsidP="000B7AC5">
            <w:pPr>
              <w:autoSpaceDE w:val="0"/>
              <w:autoSpaceDN w:val="0"/>
              <w:adjustRightInd w:val="0"/>
              <w:spacing w:line="240" w:lineRule="auto"/>
              <w:ind w:left="75"/>
              <w:rPr>
                <w:rFonts w:ascii="Calibri" w:hAnsi="Calibri" w:cs="Calibri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</w:t>
      </w:r>
      <w:r w:rsidRPr="00E26BCF">
        <w:rPr>
          <w:rFonts w:ascii="Arial" w:hAnsi="Arial" w:cs="Arial"/>
          <w:b/>
          <w:lang w:eastAsia="ru-RU"/>
        </w:rPr>
        <w:t>. МЕХАНИЗМ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sz w:val="22"/>
          <w:szCs w:val="22"/>
          <w:lang w:eastAsia="ru-RU"/>
        </w:rPr>
        <w:t xml:space="preserve">           </w:t>
      </w:r>
      <w:r w:rsidRPr="00E26BCF">
        <w:rPr>
          <w:rFonts w:ascii="Arial" w:hAnsi="Arial" w:cs="Arial"/>
          <w:lang w:eastAsia="ru-RU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</w:t>
      </w:r>
      <w:r w:rsidRPr="00E26BCF">
        <w:rPr>
          <w:rFonts w:ascii="Arial" w:hAnsi="Arial" w:cs="Arial"/>
          <w:b/>
          <w:lang w:eastAsia="ru-RU"/>
        </w:rPr>
        <w:t>. ОЖИДАЕМЫЕ РЕЗУЛЬТАТЫ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1. Создание благоприятных условий для творческой деятельности.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2. Увеличение числа культурно-досуговых мероприятий.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E26BCF" w:rsidRPr="00E26BCF" w:rsidRDefault="00E26BCF" w:rsidP="00E26B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26BCF">
        <w:rPr>
          <w:rFonts w:ascii="Arial" w:hAnsi="Arial" w:cs="Arial"/>
          <w:lang w:eastAsia="ru-RU"/>
        </w:rPr>
        <w:t>5.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Pr="00E26BCF">
        <w:rPr>
          <w:rFonts w:ascii="Times New Roman CYR" w:hAnsi="Times New Roman CYR" w:cs="Times New Roman CYR"/>
          <w:lang w:eastAsia="ru-RU"/>
        </w:rPr>
        <w:t>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VIII</w:t>
      </w:r>
      <w:r w:rsidRPr="00E26BCF">
        <w:rPr>
          <w:rFonts w:ascii="Arial" w:hAnsi="Arial" w:cs="Arial"/>
          <w:b/>
          <w:lang w:eastAsia="ru-RU"/>
        </w:rPr>
        <w:t>.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№1 «Обеспечение деятельности подведомственных учреждений культуры (клубы)»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(клубы)»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>490,2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>511,0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 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>491,6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проведения культурно-массовых мероприятий.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359,7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(клубы)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5167F4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131,9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490,2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490,2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491,6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491,6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5167F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№2 «Обеспечение деятельности подведомственных учреждений культуры (библиотеки)»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(библиотеки)»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422,7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381,1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388,0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библиотечно-информационных мероприятий для населения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(библиотеки)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422,7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422,7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381,1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 3 «Проведение массовых праздников на территории </w:t>
      </w:r>
      <w:r>
        <w:rPr>
          <w:rFonts w:ascii="Arial" w:hAnsi="Arial" w:cs="Arial"/>
          <w:b/>
          <w:lang w:eastAsia="ru-RU"/>
        </w:rPr>
        <w:t>Катарминского</w:t>
      </w:r>
      <w:r w:rsidR="00D41758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 xml:space="preserve">муниципального образования»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муниципального образования» </w:t>
            </w:r>
          </w:p>
        </w:tc>
      </w:tr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D41758">
        <w:trPr>
          <w:cantSplit/>
          <w:trHeight w:val="21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Цели и задачи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-Организация досуга и приобщение жителей,  проживающих  на территории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к участию в массовых праздниках, мероприятиях.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      </w:r>
          </w:p>
        </w:tc>
      </w:tr>
      <w:tr w:rsidR="00E26BCF" w:rsidRPr="00E26BCF" w:rsidTr="00E26BCF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10,0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10.0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11.0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1.Обобщение и распространение опыта культурно-массовой, культурно-воспитательной, культурно-зрелищной работы  культурно </w:t>
            </w:r>
            <w:proofErr w:type="gramStart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–д</w:t>
            </w:r>
            <w:proofErr w:type="gramEnd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осугового учреждения.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2. Предоставление гражданам дополнительных досуговых  услуг.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3. Обеспечение условий притягательности самобытной (народной) культуры для молодежи.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106"/>
        <w:gridCol w:w="1418"/>
        <w:gridCol w:w="567"/>
        <w:gridCol w:w="1559"/>
        <w:gridCol w:w="1276"/>
        <w:gridCol w:w="709"/>
        <w:gridCol w:w="850"/>
      </w:tblGrid>
      <w:tr w:rsidR="00E26BCF" w:rsidRPr="00E26BCF" w:rsidTr="00E26BCF">
        <w:tc>
          <w:tcPr>
            <w:tcW w:w="567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567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Создание благоприятных условий для организации культурного досуга и отдыха жителей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2024</w:t>
            </w:r>
            <w:r w:rsidR="00E26BCF"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eastAsia="ru-RU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CA1D84" w:rsidRPr="00CD4E04" w:rsidRDefault="00CA1D84" w:rsidP="00CA1D8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A1D84" w:rsidRPr="00CC196C" w:rsidTr="009B5603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1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000,00 рублей;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  <w:tr w:rsidR="00CA1D84" w:rsidRPr="00CC196C" w:rsidTr="009B5603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29"/>
        <w:gridCol w:w="1106"/>
        <w:gridCol w:w="1418"/>
        <w:gridCol w:w="567"/>
        <w:gridCol w:w="144"/>
        <w:gridCol w:w="1415"/>
        <w:gridCol w:w="1276"/>
        <w:gridCol w:w="710"/>
        <w:gridCol w:w="993"/>
      </w:tblGrid>
      <w:tr w:rsidR="00CA1D84" w:rsidRPr="00CC196C" w:rsidTr="00F9159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Срок реализации мероприятий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A1D84" w:rsidRPr="00CC196C" w:rsidTr="00F91592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МКУК Катарминского МО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CA1D84" w:rsidRPr="00F91592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Pr="00CD28B9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</w:t>
      </w:r>
      <w:r w:rsidR="0094731A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proofErr w:type="spellStart"/>
      <w:r w:rsidR="00B9039A" w:rsidRPr="004B28A1">
        <w:rPr>
          <w:rFonts w:ascii="Arial" w:hAnsi="Arial" w:cs="Arial"/>
        </w:rPr>
        <w:t>Нижнеудинского</w:t>
      </w:r>
      <w:proofErr w:type="spellEnd"/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F6787D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="00F6787D">
              <w:rPr>
                <w:rFonts w:ascii="Courier New" w:eastAsia="TimesNewRoman" w:hAnsi="Courier New" w:cs="Courier New"/>
                <w:sz w:val="22"/>
                <w:szCs w:val="22"/>
              </w:rPr>
              <w:t>плафонов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B9039A" w:rsidRPr="00F91592">
              <w:rPr>
                <w:rFonts w:ascii="Courier New" w:hAnsi="Courier New" w:cs="Courier New"/>
                <w:sz w:val="20"/>
                <w:szCs w:val="20"/>
              </w:rPr>
              <w:t>чреждения</w:t>
            </w:r>
          </w:p>
          <w:p w:rsidR="008D2046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084CBC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084CBC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92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8D2046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F6787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084CBC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93"/>
        <w:gridCol w:w="1292"/>
        <w:gridCol w:w="1418"/>
        <w:gridCol w:w="1165"/>
        <w:gridCol w:w="1925"/>
        <w:gridCol w:w="2813"/>
      </w:tblGrid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A74D86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94731A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A74D86" w:rsidP="00F6787D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5E0FF7">
        <w:rPr>
          <w:rFonts w:ascii="Arial" w:hAnsi="Arial" w:cs="Arial"/>
        </w:rPr>
        <w:t>И.о</w:t>
      </w:r>
      <w:proofErr w:type="gramStart"/>
      <w:r w:rsidRPr="005E0FF7">
        <w:rPr>
          <w:rFonts w:ascii="Arial" w:hAnsi="Arial" w:cs="Arial"/>
        </w:rPr>
        <w:t>.г</w:t>
      </w:r>
      <w:proofErr w:type="gramEnd"/>
      <w:r w:rsidRPr="005E0FF7">
        <w:rPr>
          <w:rFonts w:ascii="Arial" w:hAnsi="Arial" w:cs="Arial"/>
        </w:rPr>
        <w:t>лавы</w:t>
      </w:r>
      <w:proofErr w:type="spellEnd"/>
      <w:r w:rsidRPr="005E0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Катарминского</w:t>
      </w:r>
    </w:p>
    <w:p w:rsidR="005E0FF7" w:rsidRP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     </w:t>
      </w:r>
      <w:proofErr w:type="spellStart"/>
      <w:r>
        <w:rPr>
          <w:rFonts w:ascii="Arial" w:hAnsi="Arial" w:cs="Arial"/>
        </w:rPr>
        <w:t>В.Ш.Сайфулина</w:t>
      </w:r>
      <w:proofErr w:type="spellEnd"/>
    </w:p>
    <w:sectPr w:rsidR="005E0FF7" w:rsidRPr="005E0FF7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F" w:rsidRDefault="00E26BCF" w:rsidP="004F7CA7">
      <w:pPr>
        <w:spacing w:line="240" w:lineRule="auto"/>
      </w:pPr>
      <w:r>
        <w:separator/>
      </w:r>
    </w:p>
  </w:endnote>
  <w:endnote w:type="continuationSeparator" w:id="0">
    <w:p w:rsidR="00E26BCF" w:rsidRDefault="00E26BCF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F" w:rsidRDefault="00E26BCF" w:rsidP="004F7CA7">
      <w:pPr>
        <w:spacing w:line="240" w:lineRule="auto"/>
      </w:pPr>
      <w:r>
        <w:separator/>
      </w:r>
    </w:p>
  </w:footnote>
  <w:footnote w:type="continuationSeparator" w:id="0">
    <w:p w:rsidR="00E26BCF" w:rsidRDefault="00E26BCF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4CBC"/>
    <w:rsid w:val="00085940"/>
    <w:rsid w:val="00085C9A"/>
    <w:rsid w:val="00087201"/>
    <w:rsid w:val="00091800"/>
    <w:rsid w:val="00092169"/>
    <w:rsid w:val="000A65B6"/>
    <w:rsid w:val="000B7AC5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38DB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70450"/>
    <w:rsid w:val="001921F3"/>
    <w:rsid w:val="001A3545"/>
    <w:rsid w:val="001A49BB"/>
    <w:rsid w:val="001B36E5"/>
    <w:rsid w:val="001B38D3"/>
    <w:rsid w:val="001C42D1"/>
    <w:rsid w:val="001E2924"/>
    <w:rsid w:val="001E5F81"/>
    <w:rsid w:val="001E764C"/>
    <w:rsid w:val="001F0F92"/>
    <w:rsid w:val="001F1097"/>
    <w:rsid w:val="001F3B9A"/>
    <w:rsid w:val="001F7AE1"/>
    <w:rsid w:val="002174FE"/>
    <w:rsid w:val="00217795"/>
    <w:rsid w:val="00221718"/>
    <w:rsid w:val="0022534D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04C49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714D4"/>
    <w:rsid w:val="0038130B"/>
    <w:rsid w:val="0038415C"/>
    <w:rsid w:val="0038707B"/>
    <w:rsid w:val="003874C9"/>
    <w:rsid w:val="00387DE0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0078"/>
    <w:rsid w:val="00414366"/>
    <w:rsid w:val="004145C5"/>
    <w:rsid w:val="0042151B"/>
    <w:rsid w:val="004275CB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7CA7"/>
    <w:rsid w:val="00502A43"/>
    <w:rsid w:val="005167F4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5E0FF7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4A8A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2F67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25B35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B12F7"/>
    <w:rsid w:val="009B560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74D86"/>
    <w:rsid w:val="00A957C8"/>
    <w:rsid w:val="00AB05EE"/>
    <w:rsid w:val="00AB1B73"/>
    <w:rsid w:val="00AC1586"/>
    <w:rsid w:val="00AC4C20"/>
    <w:rsid w:val="00AD7AE8"/>
    <w:rsid w:val="00AE01AC"/>
    <w:rsid w:val="00AE4577"/>
    <w:rsid w:val="00AE6884"/>
    <w:rsid w:val="00AE7629"/>
    <w:rsid w:val="00AF77C3"/>
    <w:rsid w:val="00AF78A2"/>
    <w:rsid w:val="00B0426F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1D"/>
    <w:rsid w:val="00C23DB6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683"/>
    <w:rsid w:val="00CA1D84"/>
    <w:rsid w:val="00CA38C4"/>
    <w:rsid w:val="00CA7075"/>
    <w:rsid w:val="00CA70C3"/>
    <w:rsid w:val="00CB0520"/>
    <w:rsid w:val="00CB0D06"/>
    <w:rsid w:val="00CB2D14"/>
    <w:rsid w:val="00CB5566"/>
    <w:rsid w:val="00CC196C"/>
    <w:rsid w:val="00CC2251"/>
    <w:rsid w:val="00CC4EED"/>
    <w:rsid w:val="00CC5391"/>
    <w:rsid w:val="00CC7D29"/>
    <w:rsid w:val="00CD28B9"/>
    <w:rsid w:val="00CD4E04"/>
    <w:rsid w:val="00CF263F"/>
    <w:rsid w:val="00CF3144"/>
    <w:rsid w:val="00CF6E42"/>
    <w:rsid w:val="00D00146"/>
    <w:rsid w:val="00D00FBC"/>
    <w:rsid w:val="00D067CB"/>
    <w:rsid w:val="00D121C2"/>
    <w:rsid w:val="00D15F04"/>
    <w:rsid w:val="00D213DA"/>
    <w:rsid w:val="00D27D10"/>
    <w:rsid w:val="00D30DE4"/>
    <w:rsid w:val="00D36BD2"/>
    <w:rsid w:val="00D41758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03A9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6BCF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6A1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7EDF"/>
    <w:rsid w:val="00F63C0E"/>
    <w:rsid w:val="00F649AF"/>
    <w:rsid w:val="00F64E36"/>
    <w:rsid w:val="00F6787D"/>
    <w:rsid w:val="00F73434"/>
    <w:rsid w:val="00F81761"/>
    <w:rsid w:val="00F821D3"/>
    <w:rsid w:val="00F87A88"/>
    <w:rsid w:val="00F90B4E"/>
    <w:rsid w:val="00F91592"/>
    <w:rsid w:val="00FA4B96"/>
    <w:rsid w:val="00FA6A79"/>
    <w:rsid w:val="00FB4820"/>
    <w:rsid w:val="00FB7C84"/>
    <w:rsid w:val="00FC2F44"/>
    <w:rsid w:val="00FC3265"/>
    <w:rsid w:val="00FC4752"/>
    <w:rsid w:val="00FD233C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10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  <w:style w:type="numbering" w:customStyle="1" w:styleId="11">
    <w:name w:val="Нет списка1"/>
    <w:next w:val="a2"/>
    <w:semiHidden/>
    <w:unhideWhenUsed/>
    <w:rsid w:val="00E26BCF"/>
  </w:style>
  <w:style w:type="paragraph" w:customStyle="1" w:styleId="af6">
    <w:basedOn w:val="a"/>
    <w:next w:val="a9"/>
    <w:qFormat/>
    <w:rsid w:val="00E26BC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7">
    <w:name w:val="Subtitle"/>
    <w:basedOn w:val="a"/>
    <w:link w:val="af8"/>
    <w:qFormat/>
    <w:locked/>
    <w:rsid w:val="00E26BCF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E26BCF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E26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E26BCF"/>
    <w:rPr>
      <w:rFonts w:cs="PT Sans"/>
      <w:color w:val="000000"/>
      <w:sz w:val="32"/>
      <w:szCs w:val="32"/>
    </w:rPr>
  </w:style>
  <w:style w:type="table" w:customStyle="1" w:styleId="12">
    <w:name w:val="Сетка таблицы1"/>
    <w:basedOn w:val="a1"/>
    <w:next w:val="af0"/>
    <w:rsid w:val="00E26B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6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C7EC13-0E6B-4828-AEAC-CC38FD9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17</Pages>
  <Words>3728</Words>
  <Characters>28749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37</cp:revision>
  <cp:lastPrinted>2021-09-21T08:08:00Z</cp:lastPrinted>
  <dcterms:created xsi:type="dcterms:W3CDTF">2015-12-24T01:58:00Z</dcterms:created>
  <dcterms:modified xsi:type="dcterms:W3CDTF">2021-09-21T08:09:00Z</dcterms:modified>
</cp:coreProperties>
</file>